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23" w:rsidRPr="002D0B23" w:rsidRDefault="001608B4" w:rsidP="002D0B23">
      <w:pPr>
        <w:spacing w:after="192" w:line="384" w:lineRule="atLeast"/>
        <w:jc w:val="both"/>
        <w:rPr>
          <w:rFonts w:ascii="PT Sans" w:eastAsia="Times New Roman" w:hAnsi="PT Sans"/>
          <w:color w:val="606060"/>
          <w:sz w:val="32"/>
          <w:szCs w:val="32"/>
          <w:lang w:eastAsia="ru-RU"/>
        </w:rPr>
      </w:pPr>
      <w:r>
        <w:rPr>
          <w:rFonts w:ascii="PT Sans" w:eastAsia="Times New Roman" w:hAnsi="PT Sans"/>
          <w:color w:val="606060"/>
          <w:sz w:val="32"/>
          <w:lang w:eastAsia="ru-RU"/>
        </w:rPr>
        <w:t xml:space="preserve"> </w:t>
      </w:r>
      <w:r w:rsidR="003F61D8" w:rsidRPr="002D0B23">
        <w:rPr>
          <w:rFonts w:ascii="PT Sans" w:eastAsia="Times New Roman" w:hAnsi="PT Sans"/>
          <w:color w:val="606060"/>
          <w:sz w:val="32"/>
          <w:lang w:eastAsia="ru-RU"/>
        </w:rPr>
        <w:fldChar w:fldCharType="begin"/>
      </w:r>
      <w:r w:rsidR="002D0B23" w:rsidRPr="002D0B23">
        <w:rPr>
          <w:rFonts w:ascii="PT Sans" w:eastAsia="Times New Roman" w:hAnsi="PT Sans"/>
          <w:color w:val="606060"/>
          <w:sz w:val="32"/>
          <w:lang w:eastAsia="ru-RU"/>
        </w:rPr>
        <w:instrText xml:space="preserve"> HYPERLINK "http://energy.midural.ru/napravleniya-deyatelnosti/zhkh/obraschenie-s-tverdyimi-byitovyimi-othodami-tbo/" </w:instrText>
      </w:r>
      <w:r w:rsidR="003F61D8" w:rsidRPr="002D0B23">
        <w:rPr>
          <w:rFonts w:ascii="PT Sans" w:eastAsia="Times New Roman" w:hAnsi="PT Sans"/>
          <w:color w:val="606060"/>
          <w:sz w:val="32"/>
          <w:lang w:eastAsia="ru-RU"/>
        </w:rPr>
        <w:fldChar w:fldCharType="separate"/>
      </w:r>
      <w:r w:rsidR="002D0B23" w:rsidRPr="002D0B23">
        <w:rPr>
          <w:rFonts w:ascii="PT Sans" w:eastAsia="Times New Roman" w:hAnsi="PT Sans"/>
          <w:color w:val="186BB1"/>
          <w:sz w:val="32"/>
          <w:lang w:eastAsia="ru-RU"/>
        </w:rPr>
        <w:t>Обращение с твердыми коммунальными отходами (ТКО)</w:t>
      </w:r>
      <w:r w:rsidR="003F61D8" w:rsidRPr="002D0B23">
        <w:rPr>
          <w:rFonts w:ascii="PT Sans" w:eastAsia="Times New Roman" w:hAnsi="PT Sans"/>
          <w:color w:val="606060"/>
          <w:sz w:val="32"/>
          <w:lang w:eastAsia="ru-RU"/>
        </w:rPr>
        <w:fldChar w:fldCharType="end"/>
      </w:r>
      <w:r w:rsidR="002D0B23" w:rsidRPr="002D0B23">
        <w:rPr>
          <w:rFonts w:ascii="PT Sans" w:eastAsia="Times New Roman" w:hAnsi="PT Sans"/>
          <w:color w:val="606060"/>
          <w:sz w:val="32"/>
          <w:szCs w:val="32"/>
          <w:lang w:eastAsia="ru-RU"/>
        </w:rPr>
        <w:t xml:space="preserve"> </w:t>
      </w:r>
    </w:p>
    <w:p w:rsidR="002D0B23" w:rsidRPr="002D0B23" w:rsidRDefault="002D0B23" w:rsidP="002D0B23">
      <w:pPr>
        <w:spacing w:after="0"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lang w:eastAsia="ru-RU"/>
        </w:rPr>
        <w:t>15.01.2019</w:t>
      </w:r>
      <w:r w:rsidRPr="002D0B23">
        <w:rPr>
          <w:rFonts w:ascii="PT Sans" w:eastAsia="Times New Roman" w:hAnsi="PT Sans"/>
          <w:color w:val="606060"/>
          <w:sz w:val="34"/>
          <w:szCs w:val="34"/>
          <w:lang w:eastAsia="ru-RU"/>
        </w:rPr>
        <w:t xml:space="preserve"> </w:t>
      </w:r>
    </w:p>
    <w:p w:rsidR="002D0B23" w:rsidRPr="002D0B23" w:rsidRDefault="003F61D8" w:rsidP="002D0B23">
      <w:pPr>
        <w:spacing w:after="96" w:line="312" w:lineRule="auto"/>
        <w:jc w:val="both"/>
        <w:outlineLvl w:val="0"/>
        <w:rPr>
          <w:rFonts w:ascii="Roboto Condensed" w:eastAsia="Times New Roman" w:hAnsi="Roboto Condensed"/>
          <w:color w:val="000000"/>
          <w:spacing w:val="-6"/>
          <w:kern w:val="36"/>
          <w:sz w:val="56"/>
          <w:szCs w:val="56"/>
          <w:lang w:eastAsia="ru-RU"/>
        </w:rPr>
      </w:pPr>
      <w:hyperlink r:id="rId4" w:history="1">
        <w:r w:rsidR="002D0B23" w:rsidRPr="002D0B23">
          <w:rPr>
            <w:rFonts w:ascii="Roboto Condensed" w:eastAsia="Times New Roman" w:hAnsi="Roboto Condensed"/>
            <w:color w:val="186BB1"/>
            <w:spacing w:val="-6"/>
            <w:kern w:val="36"/>
            <w:sz w:val="56"/>
            <w:lang w:eastAsia="ru-RU"/>
          </w:rPr>
          <w:t>Разъяснения по вопросам обращения с твердыми коммунальными отходами (в вопросах и ответах)</w:t>
        </w:r>
      </w:hyperlink>
      <w:r w:rsidR="002D0B23" w:rsidRPr="002D0B23">
        <w:rPr>
          <w:rFonts w:ascii="Roboto Condensed" w:eastAsia="Times New Roman" w:hAnsi="Roboto Condensed"/>
          <w:color w:val="000000"/>
          <w:spacing w:val="-6"/>
          <w:kern w:val="36"/>
          <w:sz w:val="56"/>
          <w:szCs w:val="56"/>
          <w:lang w:eastAsia="ru-RU"/>
        </w:rPr>
        <w:t xml:space="preserve"> </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Основные вопросы, с которыми сталкивается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 Зачем нужна реформа системы обращения с твердыми коммунальными отходами?</w:t>
      </w:r>
      <w:r w:rsidRPr="002D0B23">
        <w:rPr>
          <w:rFonts w:ascii="PT Sans" w:eastAsia="Times New Roman" w:hAnsi="PT Sans"/>
          <w:color w:val="606060"/>
          <w:sz w:val="34"/>
          <w:szCs w:val="34"/>
          <w:lang w:eastAsia="ru-RU"/>
        </w:rPr>
        <w:br/>
        <w:t xml:space="preserve">Экологическая обстановка, связанная с деятельностью по обращению с твердыми коммунальными отходами, в стане такова, что самим обществом требуется незамедлительное принятие решений для улучшения экологии. </w:t>
      </w:r>
      <w:proofErr w:type="gramStart"/>
      <w:r w:rsidRPr="002D0B23">
        <w:rPr>
          <w:rFonts w:ascii="PT Sans" w:eastAsia="Times New Roman" w:hAnsi="PT Sans"/>
          <w:color w:val="606060"/>
          <w:sz w:val="34"/>
          <w:szCs w:val="34"/>
          <w:lang w:eastAsia="ru-RU"/>
        </w:rPr>
        <w:t>Существующая</w:t>
      </w:r>
      <w:proofErr w:type="gramEnd"/>
      <w:r w:rsidRPr="002D0B23">
        <w:rPr>
          <w:rFonts w:ascii="PT Sans" w:eastAsia="Times New Roman" w:hAnsi="PT Sans"/>
          <w:color w:val="606060"/>
          <w:sz w:val="34"/>
          <w:szCs w:val="34"/>
          <w:lang w:eastAsia="ru-RU"/>
        </w:rPr>
        <w:t xml:space="preserve"> системы сбора и удаления твердых коммунальных отходов, сложившаяся за десятилетия, основана на захоронении отходов на несанкционированных свалках и в небольшом количестве случаев – на полигонах, обустроенных в соответствии с действующими нормами. Следовательно, полигонная система захоронения не выполняет требования по снижению уровня негативного воздействия на окружающую среду и подлежит изменению.</w:t>
      </w:r>
      <w:r w:rsidRPr="002D0B23">
        <w:rPr>
          <w:rFonts w:ascii="PT Sans" w:eastAsia="Times New Roman" w:hAnsi="PT Sans"/>
          <w:color w:val="606060"/>
          <w:sz w:val="34"/>
          <w:szCs w:val="34"/>
          <w:lang w:eastAsia="ru-RU"/>
        </w:rPr>
        <w:br/>
        <w:t>В Свердловской области каждое третье муниципальное образование вообще не имеет полигон для размещения образуемых отходов, более 45 муниципальных образований имеют свалки, которые используются (либо использовались до недавнего времени) для размещения отходов и при этом не соответствуют природоохранному законодательству. Полигоны, включенные в государственный реестр объектов размещения отходов, то есть признанные законными, расположены в 30 муниципальных образованиях.</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lastRenderedPageBreak/>
        <w:t>При этой системе абсолютно не решаются вопросы переработки отходов, экономии природных ресурсов, снижения негативного воздействия деятельности по размещению отходов на окружающую среду. Кроме того, свалки переполнены отходами, не решаются вопросы реконструкции полигонов.</w:t>
      </w:r>
      <w:r w:rsidRPr="002D0B23">
        <w:rPr>
          <w:rFonts w:ascii="PT Sans" w:eastAsia="Times New Roman" w:hAnsi="PT Sans"/>
          <w:color w:val="606060"/>
          <w:sz w:val="34"/>
          <w:szCs w:val="34"/>
          <w:lang w:eastAsia="ru-RU"/>
        </w:rPr>
        <w:br/>
        <w:t>Создание новой современной системы обращения с твердыми коммунальными отходами – это основная задача реформы, реализуемой в субъектах Российской Федерации с участием региональных операторов по обращению с твердыми коммунальными отходами. Реформа в сфере обращения с твердыми коммунальными отходами направлена на создание новых объектов, изменение системы в сторону переработки образуемых твердых коммунальных отходов, прекращению захоронения таких полезных фракций как стекло, бумага, пластик, опасных отходов, повышение экологической сознательности населения.</w:t>
      </w:r>
      <w:r w:rsidRPr="002D0B23">
        <w:rPr>
          <w:rFonts w:ascii="PT Sans" w:eastAsia="Times New Roman" w:hAnsi="PT Sans"/>
          <w:color w:val="606060"/>
          <w:sz w:val="34"/>
          <w:szCs w:val="34"/>
          <w:lang w:eastAsia="ru-RU"/>
        </w:rPr>
        <w:b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В рамках реформы исключена возможность размещения отходов на несанкционированных свалках, используемых ранее для размещения отходов (таких в Свердловской области насчитывается более 200).</w:t>
      </w:r>
      <w:r w:rsidRPr="002D0B23">
        <w:rPr>
          <w:rFonts w:ascii="PT Sans" w:eastAsia="Times New Roman" w:hAnsi="PT Sans"/>
          <w:color w:val="606060"/>
          <w:sz w:val="34"/>
          <w:szCs w:val="34"/>
          <w:lang w:eastAsia="ru-RU"/>
        </w:rPr>
        <w:br/>
        <w:t xml:space="preserve">В новой системе управления твердыми коммунальными отходами региональный оператор при заключении договора на транспортирование твердых коммунальных отходов указывает объект конечного размещения отходов. Размещение отходов вне указанного в договоре объекта размещения отходов ведет к отсутствию оснований у регионального оператора по оплате оказанной услуги по транспортированию отходов. </w:t>
      </w:r>
      <w:proofErr w:type="gramStart"/>
      <w:r w:rsidRPr="002D0B23">
        <w:rPr>
          <w:rFonts w:ascii="PT Sans" w:eastAsia="Times New Roman" w:hAnsi="PT Sans"/>
          <w:color w:val="606060"/>
          <w:sz w:val="34"/>
          <w:szCs w:val="34"/>
          <w:lang w:eastAsia="ru-RU"/>
        </w:rPr>
        <w:t>Значит</w:t>
      </w:r>
      <w:proofErr w:type="gramEnd"/>
      <w:r w:rsidRPr="002D0B23">
        <w:rPr>
          <w:rFonts w:ascii="PT Sans" w:eastAsia="Times New Roman" w:hAnsi="PT Sans"/>
          <w:color w:val="606060"/>
          <w:sz w:val="34"/>
          <w:szCs w:val="34"/>
          <w:lang w:eastAsia="ru-RU"/>
        </w:rPr>
        <w:t xml:space="preserve"> попадание отходов на несанкционированные свалки исключается.</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lastRenderedPageBreak/>
        <w:t>2. В чем особенность услуги по обращению с твердыми коммунальными отходами?</w:t>
      </w:r>
      <w:r w:rsidRPr="002D0B23">
        <w:rPr>
          <w:rFonts w:ascii="PT Sans" w:eastAsia="Times New Roman" w:hAnsi="PT Sans"/>
          <w:color w:val="606060"/>
          <w:sz w:val="34"/>
          <w:szCs w:val="34"/>
          <w:lang w:eastAsia="ru-RU"/>
        </w:rPr>
        <w:br/>
        <w:t>Затраты на вывоз и захоронение твердых коммунальных отходов раньше были учтены в составе платы за содержание жилого помещения. Причем расшифровка указанных затрат не везде была обнародована, то есть не все знали сколько платят за услуги по обращению с твердыми коммунальными отходами. В условиях реформы услуга по обращению с твердыми коммунальными отходами становится коммунальной и будет выставлена отдельной строкой в квитанции за коммунальные услуги.</w:t>
      </w:r>
      <w:r w:rsidRPr="002D0B23">
        <w:rPr>
          <w:rFonts w:ascii="PT Sans" w:eastAsia="Times New Roman" w:hAnsi="PT Sans"/>
          <w:color w:val="606060"/>
          <w:sz w:val="34"/>
          <w:szCs w:val="34"/>
          <w:lang w:eastAsia="ru-RU"/>
        </w:rPr>
        <w:br/>
      </w:r>
      <w:proofErr w:type="gramStart"/>
      <w:r w:rsidRPr="002D0B23">
        <w:rPr>
          <w:rFonts w:ascii="PT Sans" w:eastAsia="Times New Roman" w:hAnsi="PT Sans"/>
          <w:color w:val="606060"/>
          <w:sz w:val="34"/>
          <w:szCs w:val="34"/>
          <w:lang w:eastAsia="ru-RU"/>
        </w:rPr>
        <w:t>При первом начислении платы за коммунальную услугу по обращению с твердыми коммунальными отходами затраты на вывоз</w:t>
      </w:r>
      <w:proofErr w:type="gramEnd"/>
      <w:r w:rsidRPr="002D0B23">
        <w:rPr>
          <w:rFonts w:ascii="PT Sans" w:eastAsia="Times New Roman" w:hAnsi="PT Sans"/>
          <w:color w:val="606060"/>
          <w:sz w:val="34"/>
          <w:szCs w:val="34"/>
          <w:lang w:eastAsia="ru-RU"/>
        </w:rPr>
        <w:t xml:space="preserve"> и захоронение твердых коммунальных отходов, учтенные ранее в составе содержания жилого помещения, подлежат исключению.</w:t>
      </w:r>
      <w:r w:rsidRPr="002D0B23">
        <w:rPr>
          <w:rFonts w:ascii="PT Sans" w:eastAsia="Times New Roman" w:hAnsi="PT Sans"/>
          <w:color w:val="606060"/>
          <w:sz w:val="34"/>
          <w:szCs w:val="34"/>
          <w:lang w:eastAsia="ru-RU"/>
        </w:rPr>
        <w:br/>
        <w:t xml:space="preserve">Поскольку все </w:t>
      </w:r>
      <w:proofErr w:type="spellStart"/>
      <w:r w:rsidRPr="002D0B23">
        <w:rPr>
          <w:rFonts w:ascii="PT Sans" w:eastAsia="Times New Roman" w:hAnsi="PT Sans"/>
          <w:color w:val="606060"/>
          <w:sz w:val="34"/>
          <w:szCs w:val="34"/>
          <w:lang w:eastAsia="ru-RU"/>
        </w:rPr>
        <w:t>отходообразователи</w:t>
      </w:r>
      <w:proofErr w:type="spellEnd"/>
      <w:r w:rsidRPr="002D0B23">
        <w:rPr>
          <w:rFonts w:ascii="PT Sans" w:eastAsia="Times New Roman" w:hAnsi="PT Sans"/>
          <w:color w:val="606060"/>
          <w:sz w:val="34"/>
          <w:szCs w:val="34"/>
          <w:lang w:eastAsia="ru-RU"/>
        </w:rPr>
        <w:t>, как собственники твердых коммунальных отходов, имеют обязательства по внесению платы за коммунальную услугу по обращению с твердыми коммунальными отходами, выбрасывать отходы 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r w:rsidRPr="002D0B23">
        <w:rPr>
          <w:rFonts w:ascii="PT Sans" w:eastAsia="Times New Roman" w:hAnsi="PT Sans"/>
          <w:color w:val="606060"/>
          <w:sz w:val="34"/>
          <w:szCs w:val="34"/>
          <w:lang w:eastAsia="ru-RU"/>
        </w:rPr>
        <w:br/>
        <w:t>В случае неоплаты за предоставленную коммунальную услугу по обращению с твердыми коммунальными отходами задолженность взыскивается в судебном порядке с начислением пени за просроченные платежи.</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 xml:space="preserve">3. Как </w:t>
      </w:r>
      <w:proofErr w:type="gramStart"/>
      <w:r w:rsidRPr="002D0B23">
        <w:rPr>
          <w:rFonts w:ascii="PT Sans" w:eastAsia="Times New Roman" w:hAnsi="PT Sans"/>
          <w:color w:val="606060"/>
          <w:sz w:val="34"/>
          <w:szCs w:val="34"/>
          <w:lang w:eastAsia="ru-RU"/>
        </w:rPr>
        <w:t>установлен</w:t>
      </w:r>
      <w:proofErr w:type="gramEnd"/>
      <w:r w:rsidRPr="002D0B23">
        <w:rPr>
          <w:rFonts w:ascii="PT Sans" w:eastAsia="Times New Roman" w:hAnsi="PT Sans"/>
          <w:color w:val="606060"/>
          <w:sz w:val="34"/>
          <w:szCs w:val="34"/>
          <w:lang w:eastAsia="ru-RU"/>
        </w:rPr>
        <w:t xml:space="preserve"> и из каких затрат состоят тарифы региональных операторов?</w:t>
      </w:r>
      <w:r w:rsidRPr="002D0B23">
        <w:rPr>
          <w:rFonts w:ascii="PT Sans" w:eastAsia="Times New Roman" w:hAnsi="PT Sans"/>
          <w:color w:val="606060"/>
          <w:sz w:val="34"/>
          <w:szCs w:val="34"/>
          <w:lang w:eastAsia="ru-RU"/>
        </w:rPr>
        <w:br/>
        <w:t xml:space="preserve">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 региональных операторов, определенных территориальной схемой в сфере обращения с отходами производства и потребления </w:t>
      </w:r>
      <w:r w:rsidRPr="002D0B23">
        <w:rPr>
          <w:rFonts w:ascii="PT Sans" w:eastAsia="Times New Roman" w:hAnsi="PT Sans"/>
          <w:color w:val="606060"/>
          <w:sz w:val="34"/>
          <w:szCs w:val="34"/>
          <w:lang w:eastAsia="ru-RU"/>
        </w:rPr>
        <w:lastRenderedPageBreak/>
        <w:t>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r w:rsidRPr="002D0B23">
        <w:rPr>
          <w:rFonts w:ascii="PT Sans" w:eastAsia="Times New Roman" w:hAnsi="PT Sans"/>
          <w:color w:val="606060"/>
          <w:sz w:val="34"/>
          <w:szCs w:val="34"/>
          <w:lang w:eastAsia="ru-RU"/>
        </w:rPr>
        <w:br/>
        <w:t>Согласно установленным требованиям региональные операторы до 1 июля 2018 года направили предложения по установлению единых тарифов на услуги региональных операторов в Региональную энергетическую комиссию Свердловской области.</w:t>
      </w:r>
      <w:r w:rsidRPr="002D0B23">
        <w:rPr>
          <w:rFonts w:ascii="PT Sans" w:eastAsia="Times New Roman" w:hAnsi="PT Sans"/>
          <w:color w:val="606060"/>
          <w:sz w:val="34"/>
          <w:szCs w:val="34"/>
          <w:lang w:eastAsia="ru-RU"/>
        </w:rPr>
        <w:br/>
      </w:r>
      <w:proofErr w:type="gramStart"/>
      <w:r w:rsidRPr="002D0B23">
        <w:rPr>
          <w:rFonts w:ascii="PT Sans" w:eastAsia="Times New Roman" w:hAnsi="PT Sans"/>
          <w:color w:val="606060"/>
          <w:sz w:val="34"/>
          <w:szCs w:val="34"/>
          <w:lang w:eastAsia="ru-RU"/>
        </w:rPr>
        <w:t>При установлении единых тарифов региональных операторов по обращению с ТКО была учтена следующая структура расходов:</w:t>
      </w:r>
      <w:r w:rsidRPr="002D0B23">
        <w:rPr>
          <w:rFonts w:ascii="PT Sans" w:eastAsia="Times New Roman" w:hAnsi="PT Sans"/>
          <w:color w:val="606060"/>
          <w:sz w:val="34"/>
          <w:szCs w:val="34"/>
          <w:lang w:eastAsia="ru-RU"/>
        </w:rPr>
        <w:br/>
        <w:t>1) услуги операторов по захоронение ТКО на полигонах, в т. ч.:</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плата за негативное воздействие на окружающую среду;</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инвестиционная составляющая;</w:t>
      </w:r>
      <w:r w:rsidRPr="002D0B23">
        <w:rPr>
          <w:rFonts w:ascii="PT Sans" w:eastAsia="Times New Roman" w:hAnsi="PT Sans"/>
          <w:color w:val="606060"/>
          <w:sz w:val="34"/>
          <w:szCs w:val="34"/>
          <w:lang w:eastAsia="ru-RU"/>
        </w:rPr>
        <w:br/>
        <w:t>2) налог на прибыль и НДС;</w:t>
      </w:r>
      <w:r w:rsidRPr="002D0B23">
        <w:rPr>
          <w:rFonts w:ascii="PT Sans" w:eastAsia="Times New Roman" w:hAnsi="PT Sans"/>
          <w:color w:val="606060"/>
          <w:sz w:val="34"/>
          <w:szCs w:val="34"/>
          <w:lang w:eastAsia="ru-RU"/>
        </w:rPr>
        <w:br/>
        <w:t>3) услуги по транспортированию ТКО;</w:t>
      </w:r>
      <w:r w:rsidRPr="002D0B23">
        <w:rPr>
          <w:rFonts w:ascii="PT Sans" w:eastAsia="Times New Roman" w:hAnsi="PT Sans"/>
          <w:color w:val="606060"/>
          <w:sz w:val="34"/>
          <w:szCs w:val="34"/>
          <w:lang w:eastAsia="ru-RU"/>
        </w:rPr>
        <w:br/>
        <w:t>4) расходы на заключение и обслуживание договоров.</w:t>
      </w:r>
      <w:proofErr w:type="gramEnd"/>
      <w:r w:rsidRPr="002D0B23">
        <w:rPr>
          <w:rFonts w:ascii="PT Sans" w:eastAsia="Times New Roman" w:hAnsi="PT Sans"/>
          <w:color w:val="606060"/>
          <w:sz w:val="34"/>
          <w:szCs w:val="34"/>
          <w:lang w:eastAsia="ru-RU"/>
        </w:rPr>
        <w:b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r w:rsidRPr="002D0B23">
        <w:rPr>
          <w:rFonts w:ascii="PT Sans" w:eastAsia="Times New Roman" w:hAnsi="PT Sans"/>
          <w:color w:val="606060"/>
          <w:sz w:val="34"/>
          <w:szCs w:val="34"/>
          <w:lang w:eastAsia="ru-RU"/>
        </w:rPr>
        <w:br/>
        <w:t>Средства, собираемые региональными операторами в объеме единого тарифа, пойдут на новые объекты обращения с отходами, приобретение большегрузной техники для транспортирования отходов, упорядочение потоков отходов, в том числе исключение попадания отходов на несанкционированные свалки, а, следовательно, на улучшение окружающей среды, обеспечение благоприятных условий проживания населения в регионе.</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lastRenderedPageBreak/>
        <w:t>4. Почему выросли тарифы на вывоз отходов?</w:t>
      </w:r>
      <w:r w:rsidRPr="002D0B23">
        <w:rPr>
          <w:rFonts w:ascii="PT Sans" w:eastAsia="Times New Roman" w:hAnsi="PT Sans"/>
          <w:color w:val="606060"/>
          <w:sz w:val="34"/>
          <w:szCs w:val="34"/>
          <w:lang w:eastAsia="ru-RU"/>
        </w:rPr>
        <w:br/>
        <w:t>Рост платы граждан за услугу по обращению с твердыми коммунальными отходами по сравнению с ранее оказываемой услугой по вывозу и утилизации отходов связан с несколькими факторами.</w:t>
      </w:r>
      <w:r w:rsidRPr="002D0B23">
        <w:rPr>
          <w:rFonts w:ascii="PT Sans" w:eastAsia="Times New Roman" w:hAnsi="PT Sans"/>
          <w:color w:val="606060"/>
          <w:sz w:val="34"/>
          <w:szCs w:val="34"/>
          <w:lang w:eastAsia="ru-RU"/>
        </w:rPr>
        <w:b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r w:rsidRPr="002D0B23">
        <w:rPr>
          <w:rFonts w:ascii="PT Sans" w:eastAsia="Times New Roman" w:hAnsi="PT Sans"/>
          <w:color w:val="606060"/>
          <w:sz w:val="34"/>
          <w:szCs w:val="34"/>
          <w:lang w:eastAsia="ru-RU"/>
        </w:rPr>
        <w:br/>
        <w:t xml:space="preserve">Согласно пункту 1 статьи 23 Федерального закона от 24 июня 1998 года № 89-ФЗ «Об отходах производства и потребления»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w:t>
      </w:r>
      <w:proofErr w:type="spellStart"/>
      <w:r w:rsidRPr="002D0B23">
        <w:rPr>
          <w:rFonts w:ascii="PT Sans" w:eastAsia="Times New Roman" w:hAnsi="PT Sans"/>
          <w:color w:val="606060"/>
          <w:sz w:val="34"/>
          <w:szCs w:val="34"/>
          <w:lang w:eastAsia="ru-RU"/>
        </w:rPr>
        <w:t>взымалась</w:t>
      </w:r>
      <w:proofErr w:type="spellEnd"/>
      <w:r w:rsidRPr="002D0B23">
        <w:rPr>
          <w:rFonts w:ascii="PT Sans" w:eastAsia="Times New Roman" w:hAnsi="PT Sans"/>
          <w:color w:val="606060"/>
          <w:sz w:val="34"/>
          <w:szCs w:val="34"/>
          <w:lang w:eastAsia="ru-RU"/>
        </w:rPr>
        <w:t xml:space="preserve"> с населения.</w:t>
      </w:r>
      <w:r w:rsidRPr="002D0B23">
        <w:rPr>
          <w:rFonts w:ascii="PT Sans" w:eastAsia="Times New Roman" w:hAnsi="PT Sans"/>
          <w:color w:val="606060"/>
          <w:sz w:val="34"/>
          <w:szCs w:val="34"/>
          <w:lang w:eastAsia="ru-RU"/>
        </w:rPr>
        <w:b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5. Сколько региональных операторов в Свердловской области?</w:t>
      </w:r>
      <w:r w:rsidRPr="002D0B23">
        <w:rPr>
          <w:rFonts w:ascii="PT Sans" w:eastAsia="Times New Roman" w:hAnsi="PT Sans"/>
          <w:color w:val="606060"/>
          <w:sz w:val="34"/>
          <w:szCs w:val="34"/>
          <w:lang w:eastAsia="ru-RU"/>
        </w:rPr>
        <w:br/>
        <w:t xml:space="preserve">В Свердловской области определено три региональных оператора по обращению с ТКО, которые будут </w:t>
      </w:r>
      <w:proofErr w:type="gramStart"/>
      <w:r w:rsidRPr="002D0B23">
        <w:rPr>
          <w:rFonts w:ascii="PT Sans" w:eastAsia="Times New Roman" w:hAnsi="PT Sans"/>
          <w:color w:val="606060"/>
          <w:sz w:val="34"/>
          <w:szCs w:val="34"/>
          <w:lang w:eastAsia="ru-RU"/>
        </w:rPr>
        <w:t>отвечать</w:t>
      </w:r>
      <w:proofErr w:type="gramEnd"/>
      <w:r w:rsidRPr="002D0B23">
        <w:rPr>
          <w:rFonts w:ascii="PT Sans" w:eastAsia="Times New Roman" w:hAnsi="PT Sans"/>
          <w:color w:val="606060"/>
          <w:sz w:val="34"/>
          <w:szCs w:val="34"/>
          <w:lang w:eastAsia="ru-RU"/>
        </w:rPr>
        <w:t xml:space="preserve"> в том числе и за соблюдение экологических аспектов при обеспечении деятельности по обращению с твердыми коммунальными отходами:</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lastRenderedPageBreak/>
        <w:t>в Северном административно-производственном объединении (АПО-1) с центром в городе Нижний Тагил – ООО «Компания «РИФЕЙ»;</w:t>
      </w:r>
      <w:r w:rsidRPr="002D0B23">
        <w:rPr>
          <w:rFonts w:ascii="PT Sans" w:eastAsia="Times New Roman" w:hAnsi="PT Sans"/>
          <w:color w:val="606060"/>
          <w:sz w:val="34"/>
          <w:szCs w:val="34"/>
          <w:lang w:eastAsia="ru-RU"/>
        </w:rPr>
        <w:br/>
        <w:t>в Западном административно-производственном объединении (АПО-2) с центром в городе Первоуральск – ООО «ТБО «</w:t>
      </w:r>
      <w:proofErr w:type="spellStart"/>
      <w:r w:rsidRPr="002D0B23">
        <w:rPr>
          <w:rFonts w:ascii="PT Sans" w:eastAsia="Times New Roman" w:hAnsi="PT Sans"/>
          <w:color w:val="606060"/>
          <w:sz w:val="34"/>
          <w:szCs w:val="34"/>
          <w:lang w:eastAsia="ru-RU"/>
        </w:rPr>
        <w:t>Экосервис</w:t>
      </w:r>
      <w:proofErr w:type="spellEnd"/>
      <w:r w:rsidRPr="002D0B23">
        <w:rPr>
          <w:rFonts w:ascii="PT Sans" w:eastAsia="Times New Roman" w:hAnsi="PT Sans"/>
          <w:color w:val="606060"/>
          <w:sz w:val="34"/>
          <w:szCs w:val="34"/>
          <w:lang w:eastAsia="ru-RU"/>
        </w:rPr>
        <w:t>»;</w:t>
      </w:r>
      <w:r w:rsidRPr="002D0B23">
        <w:rPr>
          <w:rFonts w:ascii="PT Sans" w:eastAsia="Times New Roman" w:hAnsi="PT Sans"/>
          <w:color w:val="606060"/>
          <w:sz w:val="34"/>
          <w:szCs w:val="34"/>
          <w:lang w:eastAsia="ru-RU"/>
        </w:rPr>
        <w:br/>
        <w:t>в Восточном административно-производственном объединении (АПО-3) с центром в городе Екатеринбург – ЕМУП «Специализированная автобаза».</w:t>
      </w:r>
      <w:r w:rsidRPr="002D0B23">
        <w:rPr>
          <w:rFonts w:ascii="PT Sans" w:eastAsia="Times New Roman" w:hAnsi="PT Sans"/>
          <w:color w:val="606060"/>
          <w:sz w:val="34"/>
          <w:szCs w:val="34"/>
          <w:lang w:eastAsia="ru-RU"/>
        </w:rPr>
        <w:b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5. Каковы функции регионального оператора?</w:t>
      </w:r>
      <w:r w:rsidRPr="002D0B23">
        <w:rPr>
          <w:rFonts w:ascii="PT Sans" w:eastAsia="Times New Roman" w:hAnsi="PT Sans"/>
          <w:color w:val="606060"/>
          <w:sz w:val="34"/>
          <w:szCs w:val="34"/>
          <w:lang w:eastAsia="ru-RU"/>
        </w:rPr>
        <w:br/>
        <w:t>Региональный оператор обеспечивает сбор, накопление, транспортирование, обработку, утилизацию, обезвреживание, размещение твердых коммунальных отходов (далее – ТКО)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w:t>
      </w:r>
      <w:r w:rsidRPr="002D0B23">
        <w:rPr>
          <w:rFonts w:ascii="PT Sans" w:eastAsia="Times New Roman" w:hAnsi="PT Sans"/>
          <w:color w:val="606060"/>
          <w:sz w:val="34"/>
          <w:szCs w:val="34"/>
          <w:lang w:eastAsia="ru-RU"/>
        </w:rPr>
        <w:b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десять лет на основании конкурсного отбора.</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 xml:space="preserve">6. </w:t>
      </w:r>
      <w:proofErr w:type="gramStart"/>
      <w:r w:rsidRPr="002D0B23">
        <w:rPr>
          <w:rFonts w:ascii="PT Sans" w:eastAsia="Times New Roman" w:hAnsi="PT Sans"/>
          <w:color w:val="606060"/>
          <w:sz w:val="34"/>
          <w:szCs w:val="34"/>
          <w:lang w:eastAsia="ru-RU"/>
        </w:rPr>
        <w:t>Куда обращаться по вопросам работы региональных операторов, в случаях, когда некорректно выставлены квитанции и т.д.?</w:t>
      </w:r>
      <w:r w:rsidRPr="002D0B23">
        <w:rPr>
          <w:rFonts w:ascii="PT Sans" w:eastAsia="Times New Roman" w:hAnsi="PT Sans"/>
          <w:color w:val="606060"/>
          <w:sz w:val="34"/>
          <w:szCs w:val="34"/>
          <w:lang w:eastAsia="ru-RU"/>
        </w:rPr>
        <w:br/>
        <w:t>У всех региональных операторов работают «горячие телефонные линии» по обращению с отходами:</w:t>
      </w:r>
      <w:r w:rsidRPr="002D0B23">
        <w:rPr>
          <w:rFonts w:ascii="PT Sans" w:eastAsia="Times New Roman" w:hAnsi="PT Sans"/>
          <w:color w:val="606060"/>
          <w:sz w:val="34"/>
          <w:szCs w:val="34"/>
          <w:lang w:eastAsia="ru-RU"/>
        </w:rPr>
        <w:br/>
        <w:t>в Северном административно-производственном объединении (АПО-1) – ООО «Компания «РИФЕЙ» – 8-800-250-60-06;</w:t>
      </w:r>
      <w:r w:rsidRPr="002D0B23">
        <w:rPr>
          <w:rFonts w:ascii="PT Sans" w:eastAsia="Times New Roman" w:hAnsi="PT Sans"/>
          <w:color w:val="606060"/>
          <w:sz w:val="34"/>
          <w:szCs w:val="34"/>
          <w:lang w:eastAsia="ru-RU"/>
        </w:rPr>
        <w:br/>
        <w:t>в Западном административно-производственном объединении (АПО-2) – ООО «ТБО «</w:t>
      </w:r>
      <w:proofErr w:type="spellStart"/>
      <w:r w:rsidRPr="002D0B23">
        <w:rPr>
          <w:rFonts w:ascii="PT Sans" w:eastAsia="Times New Roman" w:hAnsi="PT Sans"/>
          <w:color w:val="606060"/>
          <w:sz w:val="34"/>
          <w:szCs w:val="34"/>
          <w:lang w:eastAsia="ru-RU"/>
        </w:rPr>
        <w:t>Экосервис</w:t>
      </w:r>
      <w:proofErr w:type="spellEnd"/>
      <w:r w:rsidRPr="002D0B23">
        <w:rPr>
          <w:rFonts w:ascii="PT Sans" w:eastAsia="Times New Roman" w:hAnsi="PT Sans"/>
          <w:color w:val="606060"/>
          <w:sz w:val="34"/>
          <w:szCs w:val="34"/>
          <w:lang w:eastAsia="ru-RU"/>
        </w:rPr>
        <w:t>» – 8-800-100-89-54;</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lastRenderedPageBreak/>
        <w:t>в Восточном административно-производственном объединении (АПО-3) – ЕМУП «Специализированная автобаза» – 8-800-775-00-96.</w:t>
      </w:r>
      <w:proofErr w:type="gramEnd"/>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 xml:space="preserve">7. Какие отходы относятся к </w:t>
      </w:r>
      <w:proofErr w:type="gramStart"/>
      <w:r w:rsidRPr="002D0B23">
        <w:rPr>
          <w:rFonts w:ascii="PT Sans" w:eastAsia="Times New Roman" w:hAnsi="PT Sans"/>
          <w:color w:val="606060"/>
          <w:sz w:val="34"/>
          <w:szCs w:val="34"/>
          <w:lang w:eastAsia="ru-RU"/>
        </w:rPr>
        <w:t>твердым</w:t>
      </w:r>
      <w:proofErr w:type="gramEnd"/>
      <w:r w:rsidRPr="002D0B23">
        <w:rPr>
          <w:rFonts w:ascii="PT Sans" w:eastAsia="Times New Roman" w:hAnsi="PT Sans"/>
          <w:color w:val="606060"/>
          <w:sz w:val="34"/>
          <w:szCs w:val="34"/>
          <w:lang w:eastAsia="ru-RU"/>
        </w:rPr>
        <w:t xml:space="preserve"> коммунальным?</w:t>
      </w:r>
      <w:r w:rsidRPr="002D0B23">
        <w:rPr>
          <w:rFonts w:ascii="PT Sans" w:eastAsia="Times New Roman" w:hAnsi="PT Sans"/>
          <w:color w:val="606060"/>
          <w:sz w:val="34"/>
          <w:szCs w:val="34"/>
          <w:lang w:eastAsia="ru-RU"/>
        </w:rPr>
        <w:b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8. Кто должен заключать договор с региональным оператором?</w:t>
      </w:r>
      <w:r w:rsidRPr="002D0B23">
        <w:rPr>
          <w:rFonts w:ascii="PT Sans" w:eastAsia="Times New Roman" w:hAnsi="PT Sans"/>
          <w:color w:val="606060"/>
          <w:sz w:val="34"/>
          <w:szCs w:val="34"/>
          <w:lang w:eastAsia="ru-RU"/>
        </w:rPr>
        <w:br/>
        <w:t>Все собственники твердых коммунальных отходов обязаны заключить договор на оказание услуг по обращению с ТКО с региональным оператором.</w:t>
      </w:r>
      <w:r w:rsidRPr="002D0B23">
        <w:rPr>
          <w:rFonts w:ascii="PT Sans" w:eastAsia="Times New Roman" w:hAnsi="PT Sans"/>
          <w:color w:val="606060"/>
          <w:sz w:val="34"/>
          <w:szCs w:val="34"/>
          <w:lang w:eastAsia="ru-RU"/>
        </w:rPr>
        <w:br/>
        <w:t>Согласно установленным правилам обращения с твердыми коммунальными отходами в жилых помещениях региональный оператор заключает договоры с управляющими организациями, за исключением случаев, когда собственниками жилых помещений на общем собрании принято решение о заключении прямого договора с региональным оператором. В отношении нежилых помещений, зданий, строений, сооружений региональный оператор заключает договор с собственником нежилого помещения, здания, строения, сооружения или уполномоченным им лицом.</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9. Надо ли заключать договор, если юридическое лицо не осуществляет хозяйственной деятельности?</w:t>
      </w:r>
      <w:r w:rsidRPr="002D0B23">
        <w:rPr>
          <w:rFonts w:ascii="PT Sans" w:eastAsia="Times New Roman" w:hAnsi="PT Sans"/>
          <w:color w:val="606060"/>
          <w:sz w:val="34"/>
          <w:szCs w:val="34"/>
          <w:lang w:eastAsia="ru-RU"/>
        </w:rPr>
        <w:br/>
        <w:t xml:space="preserve">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w:t>
      </w:r>
      <w:r w:rsidRPr="002D0B23">
        <w:rPr>
          <w:rFonts w:ascii="PT Sans" w:eastAsia="Times New Roman" w:hAnsi="PT Sans"/>
          <w:color w:val="606060"/>
          <w:sz w:val="34"/>
          <w:szCs w:val="34"/>
          <w:lang w:eastAsia="ru-RU"/>
        </w:rPr>
        <w:lastRenderedPageBreak/>
        <w:t>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10. Кто должен оплачивать коммунальную услугу, если в квартире никто не прописан?</w:t>
      </w:r>
      <w:r w:rsidRPr="002D0B23">
        <w:rPr>
          <w:rFonts w:ascii="PT Sans" w:eastAsia="Times New Roman" w:hAnsi="PT Sans"/>
          <w:color w:val="606060"/>
          <w:sz w:val="34"/>
          <w:szCs w:val="34"/>
          <w:lang w:eastAsia="ru-RU"/>
        </w:rPr>
        <w:br/>
        <w:t>Данный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11. Какие нормативы накопления ТКО утверждены для жителей?</w:t>
      </w:r>
      <w:r w:rsidRPr="002D0B23">
        <w:rPr>
          <w:rFonts w:ascii="PT Sans" w:eastAsia="Times New Roman" w:hAnsi="PT Sans"/>
          <w:color w:val="606060"/>
          <w:sz w:val="34"/>
          <w:szCs w:val="34"/>
          <w:lang w:eastAsia="ru-RU"/>
        </w:rPr>
        <w:br/>
        <w:t>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r w:rsidRPr="002D0B23">
        <w:rPr>
          <w:rFonts w:ascii="PT Sans" w:eastAsia="Times New Roman" w:hAnsi="PT Sans"/>
          <w:color w:val="606060"/>
          <w:sz w:val="34"/>
          <w:szCs w:val="34"/>
          <w:lang w:eastAsia="ru-RU"/>
        </w:rPr>
        <w:b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r w:rsidRPr="002D0B23">
        <w:rPr>
          <w:rFonts w:ascii="PT Sans" w:eastAsia="Times New Roman" w:hAnsi="PT Sans"/>
          <w:color w:val="606060"/>
          <w:sz w:val="34"/>
          <w:szCs w:val="34"/>
          <w:lang w:eastAsia="ru-RU"/>
        </w:rPr>
        <w:b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12. Сколько стоит вывоз мусора для жителей?</w:t>
      </w:r>
      <w:r w:rsidRPr="002D0B23">
        <w:rPr>
          <w:rFonts w:ascii="PT Sans" w:eastAsia="Times New Roman" w:hAnsi="PT Sans"/>
          <w:color w:val="606060"/>
          <w:sz w:val="34"/>
          <w:szCs w:val="34"/>
          <w:lang w:eastAsia="ru-RU"/>
        </w:rPr>
        <w:br/>
        <w:t>Плата за вывоз мусора с одного человека в месяц составит:</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w:t>
      </w:r>
      <w:proofErr w:type="gramStart"/>
      <w:r w:rsidRPr="002D0B23">
        <w:rPr>
          <w:rFonts w:ascii="PT Sans" w:eastAsia="Times New Roman" w:hAnsi="PT Sans"/>
          <w:color w:val="606060"/>
          <w:sz w:val="34"/>
          <w:szCs w:val="34"/>
          <w:lang w:eastAsia="ru-RU"/>
        </w:rPr>
        <w:t>АПО-1: для жителей МКД – 142,95 рубля, частного сектора – 160,72 рубля с НДС;</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АПО-2: для жителей МКД – 120,59 рубля, частного сектора – 135,58 рубля с НДС;</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АПО-3: для жителей МКД и частных домов в Екатеринбурге – 148,62 и 182,12 рубля с НДС соответственно, в других населенных пунктах АПО-3 – 117,92 и 132,57 рубля с НДС.</w:t>
      </w:r>
      <w:proofErr w:type="gramEnd"/>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lastRenderedPageBreak/>
        <w:t>13. Будут ли предоставляться льготы на оплату услуги по вывозу ТКО?</w:t>
      </w:r>
      <w:r w:rsidRPr="002D0B23">
        <w:rPr>
          <w:rFonts w:ascii="PT Sans" w:eastAsia="Times New Roman" w:hAnsi="PT Sans"/>
          <w:color w:val="606060"/>
          <w:sz w:val="34"/>
          <w:szCs w:val="34"/>
          <w:lang w:eastAsia="ru-RU"/>
        </w:rPr>
        <w:b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r w:rsidRPr="002D0B23">
        <w:rPr>
          <w:rFonts w:ascii="PT Sans" w:eastAsia="Times New Roman" w:hAnsi="PT Sans"/>
          <w:color w:val="606060"/>
          <w:sz w:val="34"/>
          <w:szCs w:val="34"/>
          <w:lang w:eastAsia="ru-RU"/>
        </w:rPr>
        <w:br/>
        <w:t>Льготные категории граждан:</w:t>
      </w:r>
      <w:r w:rsidRPr="002D0B23">
        <w:rPr>
          <w:rFonts w:ascii="PT Sans" w:eastAsia="Times New Roman" w:hAnsi="PT Sans"/>
          <w:color w:val="606060"/>
          <w:sz w:val="34"/>
          <w:szCs w:val="34"/>
          <w:lang w:eastAsia="ru-RU"/>
        </w:rPr>
        <w:br/>
        <w:t>– инвалиды и участники Великой Отечественной войны и жители блокадного Ленинграда;</w:t>
      </w:r>
      <w:r w:rsidRPr="002D0B23">
        <w:rPr>
          <w:rFonts w:ascii="PT Sans" w:eastAsia="Times New Roman" w:hAnsi="PT Sans"/>
          <w:color w:val="606060"/>
          <w:sz w:val="34"/>
          <w:szCs w:val="34"/>
          <w:lang w:eastAsia="ru-RU"/>
        </w:rPr>
        <w:br/>
        <w:t>– ветераны боевых действий;</w:t>
      </w:r>
      <w:r w:rsidRPr="002D0B23">
        <w:rPr>
          <w:rFonts w:ascii="PT Sans" w:eastAsia="Times New Roman" w:hAnsi="PT Sans"/>
          <w:color w:val="606060"/>
          <w:sz w:val="34"/>
          <w:szCs w:val="34"/>
          <w:lang w:eastAsia="ru-RU"/>
        </w:rPr>
        <w:br/>
        <w:t>– участники ликвидации последствий аварии на Чернобыльской АЭС;</w:t>
      </w:r>
      <w:r w:rsidRPr="002D0B23">
        <w:rPr>
          <w:rFonts w:ascii="PT Sans" w:eastAsia="Times New Roman" w:hAnsi="PT Sans"/>
          <w:color w:val="606060"/>
          <w:sz w:val="34"/>
          <w:szCs w:val="34"/>
          <w:lang w:eastAsia="ru-RU"/>
        </w:rPr>
        <w:br/>
        <w:t>– инвалиды с I по III группу инвалидности;</w:t>
      </w:r>
      <w:r w:rsidRPr="002D0B23">
        <w:rPr>
          <w:rFonts w:ascii="PT Sans" w:eastAsia="Times New Roman" w:hAnsi="PT Sans"/>
          <w:color w:val="606060"/>
          <w:sz w:val="34"/>
          <w:szCs w:val="34"/>
          <w:lang w:eastAsia="ru-RU"/>
        </w:rPr>
        <w:br/>
        <w:t>– ветераны труда и труженики тыла периода Великой Отечественной войны;</w:t>
      </w:r>
      <w:r w:rsidRPr="002D0B23">
        <w:rPr>
          <w:rFonts w:ascii="PT Sans" w:eastAsia="Times New Roman" w:hAnsi="PT Sans"/>
          <w:color w:val="606060"/>
          <w:sz w:val="34"/>
          <w:szCs w:val="34"/>
          <w:lang w:eastAsia="ru-RU"/>
        </w:rPr>
        <w:br/>
      </w:r>
      <w:proofErr w:type="gramStart"/>
      <w:r w:rsidRPr="002D0B23">
        <w:rPr>
          <w:rFonts w:ascii="PT Sans" w:eastAsia="Times New Roman" w:hAnsi="PT Sans"/>
          <w:color w:val="606060"/>
          <w:sz w:val="34"/>
          <w:szCs w:val="34"/>
          <w:lang w:eastAsia="ru-RU"/>
        </w:rPr>
        <w:t>–н</w:t>
      </w:r>
      <w:proofErr w:type="gramEnd"/>
      <w:r w:rsidRPr="002D0B23">
        <w:rPr>
          <w:rFonts w:ascii="PT Sans" w:eastAsia="Times New Roman" w:hAnsi="PT Sans"/>
          <w:color w:val="606060"/>
          <w:sz w:val="34"/>
          <w:szCs w:val="34"/>
          <w:lang w:eastAsia="ru-RU"/>
        </w:rPr>
        <w:t>есовершеннолетние сироты и дети, лишенные родительской опеки;</w:t>
      </w:r>
      <w:r w:rsidRPr="002D0B23">
        <w:rPr>
          <w:rFonts w:ascii="PT Sans" w:eastAsia="Times New Roman" w:hAnsi="PT Sans"/>
          <w:color w:val="606060"/>
          <w:sz w:val="34"/>
          <w:szCs w:val="34"/>
          <w:lang w:eastAsia="ru-RU"/>
        </w:rPr>
        <w:br/>
        <w:t>– многодетные семьи.</w:t>
      </w:r>
      <w:r w:rsidRPr="002D0B23">
        <w:rPr>
          <w:rFonts w:ascii="PT Sans" w:eastAsia="Times New Roman" w:hAnsi="PT Sans"/>
          <w:color w:val="606060"/>
          <w:sz w:val="34"/>
          <w:szCs w:val="34"/>
          <w:lang w:eastAsia="ru-RU"/>
        </w:rPr>
        <w:br/>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r w:rsidRPr="002D0B23">
        <w:rPr>
          <w:rFonts w:ascii="PT Sans" w:eastAsia="Times New Roman" w:hAnsi="PT Sans"/>
          <w:color w:val="606060"/>
          <w:sz w:val="34"/>
          <w:szCs w:val="34"/>
          <w:lang w:eastAsia="ru-RU"/>
        </w:rPr>
        <w:br/>
        <w:t>постановлением Правительства Свердловской области от 26.06.2012</w:t>
      </w:r>
      <w:r w:rsidRPr="002D0B23">
        <w:rPr>
          <w:rFonts w:ascii="PT Sans" w:eastAsia="Times New Roman" w:hAnsi="PT Sans"/>
          <w:color w:val="606060"/>
          <w:sz w:val="34"/>
          <w:szCs w:val="34"/>
          <w:lang w:eastAsia="ru-RU"/>
        </w:rPr>
        <w:br/>
        <w:t xml:space="preserve">№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2D0B23">
        <w:rPr>
          <w:rFonts w:ascii="PT Sans" w:eastAsia="Times New Roman" w:hAnsi="PT Sans"/>
          <w:color w:val="606060"/>
          <w:sz w:val="34"/>
          <w:szCs w:val="34"/>
          <w:lang w:eastAsia="ru-RU"/>
        </w:rPr>
        <w:t>поддержки</w:t>
      </w:r>
      <w:proofErr w:type="gramEnd"/>
      <w:r w:rsidRPr="002D0B23">
        <w:rPr>
          <w:rFonts w:ascii="PT Sans" w:eastAsia="Times New Roman" w:hAnsi="PT Sans"/>
          <w:color w:val="606060"/>
          <w:sz w:val="34"/>
          <w:szCs w:val="34"/>
          <w:lang w:eastAsia="ru-RU"/>
        </w:rPr>
        <w:t xml:space="preserve"> которым относится к ведению Российской Федерации»;</w:t>
      </w:r>
      <w:r w:rsidRPr="002D0B23">
        <w:rPr>
          <w:rFonts w:ascii="PT Sans" w:eastAsia="Times New Roman" w:hAnsi="PT Sans"/>
          <w:color w:val="606060"/>
          <w:sz w:val="34"/>
          <w:szCs w:val="34"/>
          <w:lang w:eastAsia="ru-RU"/>
        </w:rPr>
        <w:br/>
        <w:t xml:space="preserve">постановлением 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2D0B23">
        <w:rPr>
          <w:rFonts w:ascii="PT Sans" w:eastAsia="Times New Roman" w:hAnsi="PT Sans"/>
          <w:color w:val="606060"/>
          <w:sz w:val="34"/>
          <w:szCs w:val="34"/>
          <w:lang w:eastAsia="ru-RU"/>
        </w:rPr>
        <w:t>поддержки</w:t>
      </w:r>
      <w:proofErr w:type="gramEnd"/>
      <w:r w:rsidRPr="002D0B23">
        <w:rPr>
          <w:rFonts w:ascii="PT Sans" w:eastAsia="Times New Roman" w:hAnsi="PT Sans"/>
          <w:color w:val="606060"/>
          <w:sz w:val="34"/>
          <w:szCs w:val="34"/>
          <w:lang w:eastAsia="ru-RU"/>
        </w:rPr>
        <w:t xml:space="preserve"> которым относится к ведению субъекта Российской Федерации»;</w:t>
      </w:r>
      <w:r w:rsidRPr="002D0B23">
        <w:rPr>
          <w:rFonts w:ascii="PT Sans" w:eastAsia="Times New Roman" w:hAnsi="PT Sans"/>
          <w:color w:val="606060"/>
          <w:sz w:val="34"/>
          <w:szCs w:val="34"/>
          <w:lang w:eastAsia="ru-RU"/>
        </w:rPr>
        <w:br/>
        <w:t xml:space="preserve">постановление Правительства Свердловской области от </w:t>
      </w:r>
      <w:r w:rsidRPr="002D0B23">
        <w:rPr>
          <w:rFonts w:ascii="PT Sans" w:eastAsia="Times New Roman" w:hAnsi="PT Sans"/>
          <w:color w:val="606060"/>
          <w:sz w:val="34"/>
          <w:szCs w:val="34"/>
          <w:lang w:eastAsia="ru-RU"/>
        </w:rPr>
        <w:lastRenderedPageBreak/>
        <w:t>26.06.2012</w:t>
      </w:r>
      <w:r w:rsidRPr="002D0B23">
        <w:rPr>
          <w:rFonts w:ascii="PT Sans" w:eastAsia="Times New Roman" w:hAnsi="PT Sans"/>
          <w:color w:val="606060"/>
          <w:sz w:val="34"/>
          <w:szCs w:val="34"/>
          <w:lang w:eastAsia="ru-RU"/>
        </w:rPr>
        <w:b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Pr="002D0B23">
        <w:rPr>
          <w:rFonts w:ascii="PT Sans" w:eastAsia="Times New Roman" w:hAnsi="PT Sans"/>
          <w:color w:val="606060"/>
          <w:sz w:val="34"/>
          <w:szCs w:val="34"/>
          <w:lang w:eastAsia="ru-RU"/>
        </w:rPr>
        <w:br/>
      </w:r>
      <w:proofErr w:type="gramStart"/>
      <w:r w:rsidRPr="002D0B23">
        <w:rPr>
          <w:rFonts w:ascii="PT Sans" w:eastAsia="Times New Roman" w:hAnsi="PT Sans"/>
          <w:color w:val="606060"/>
          <w:sz w:val="34"/>
          <w:szCs w:val="34"/>
          <w:lang w:eastAsia="ru-RU"/>
        </w:rPr>
        <w:t>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w:t>
      </w:r>
      <w:proofErr w:type="gramEnd"/>
      <w:r w:rsidRPr="002D0B23">
        <w:rPr>
          <w:rFonts w:ascii="PT Sans" w:eastAsia="Times New Roman" w:hAnsi="PT Sans"/>
          <w:color w:val="606060"/>
          <w:sz w:val="34"/>
          <w:szCs w:val="34"/>
          <w:lang w:eastAsia="ru-RU"/>
        </w:rPr>
        <w:t xml:space="preserve">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 xml:space="preserve">14. Как подтвердить длительное отсутствие по месту проживания и </w:t>
      </w:r>
      <w:proofErr w:type="gramStart"/>
      <w:r w:rsidRPr="002D0B23">
        <w:rPr>
          <w:rFonts w:ascii="PT Sans" w:eastAsia="Times New Roman" w:hAnsi="PT Sans"/>
          <w:color w:val="606060"/>
          <w:sz w:val="34"/>
          <w:szCs w:val="34"/>
          <w:lang w:eastAsia="ru-RU"/>
        </w:rPr>
        <w:t>не получения</w:t>
      </w:r>
      <w:proofErr w:type="gramEnd"/>
      <w:r w:rsidRPr="002D0B23">
        <w:rPr>
          <w:rFonts w:ascii="PT Sans" w:eastAsia="Times New Roman" w:hAnsi="PT Sans"/>
          <w:color w:val="606060"/>
          <w:sz w:val="34"/>
          <w:szCs w:val="34"/>
          <w:lang w:eastAsia="ru-RU"/>
        </w:rPr>
        <w:t xml:space="preserve"> коммунальной услуги?</w:t>
      </w:r>
      <w:r w:rsidRPr="002D0B23">
        <w:rPr>
          <w:rFonts w:ascii="PT Sans" w:eastAsia="Times New Roman" w:hAnsi="PT Sans"/>
          <w:color w:val="606060"/>
          <w:sz w:val="34"/>
          <w:szCs w:val="34"/>
          <w:lang w:eastAsia="ru-RU"/>
        </w:rPr>
        <w:b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Pr="002D0B23">
        <w:rPr>
          <w:rFonts w:ascii="PT Sans" w:eastAsia="Times New Roman" w:hAnsi="PT Sans"/>
          <w:color w:val="606060"/>
          <w:sz w:val="34"/>
          <w:szCs w:val="34"/>
          <w:lang w:eastAsia="ru-RU"/>
        </w:rPr>
        <w:br/>
        <w:t xml:space="preserve">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w:t>
      </w:r>
      <w:r w:rsidRPr="002D0B23">
        <w:rPr>
          <w:rFonts w:ascii="PT Sans" w:eastAsia="Times New Roman" w:hAnsi="PT Sans"/>
          <w:color w:val="606060"/>
          <w:sz w:val="34"/>
          <w:szCs w:val="34"/>
          <w:lang w:eastAsia="ru-RU"/>
        </w:rPr>
        <w:lastRenderedPageBreak/>
        <w:t>перерасчете может быть приложен один из документов:</w:t>
      </w:r>
      <w:r w:rsidRPr="002D0B23">
        <w:rPr>
          <w:rFonts w:ascii="PT Sans" w:eastAsia="Times New Roman" w:hAnsi="PT Sans"/>
          <w:color w:val="606060"/>
          <w:sz w:val="34"/>
          <w:szCs w:val="34"/>
          <w:lang w:eastAsia="ru-RU"/>
        </w:rPr>
        <w:b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2D0B23">
        <w:rPr>
          <w:rFonts w:ascii="PT Sans" w:eastAsia="Times New Roman" w:hAnsi="PT Sans"/>
          <w:color w:val="606060"/>
          <w:sz w:val="34"/>
          <w:szCs w:val="34"/>
          <w:lang w:eastAsia="ru-RU"/>
        </w:rPr>
        <w:br/>
        <w:t>б) справка о нахождении на лечении в стационарном лечебном учреждении или на санаторно-курортном лечении;</w:t>
      </w:r>
      <w:r w:rsidRPr="002D0B23">
        <w:rPr>
          <w:rFonts w:ascii="PT Sans" w:eastAsia="Times New Roman" w:hAnsi="PT Sans"/>
          <w:color w:val="606060"/>
          <w:sz w:val="34"/>
          <w:szCs w:val="34"/>
          <w:lang w:eastAsia="ru-RU"/>
        </w:rPr>
        <w:b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2D0B23">
        <w:rPr>
          <w:rFonts w:ascii="PT Sans" w:eastAsia="Times New Roman" w:hAnsi="PT Sans"/>
          <w:color w:val="606060"/>
          <w:sz w:val="34"/>
          <w:szCs w:val="34"/>
          <w:lang w:eastAsia="ru-RU"/>
        </w:rPr>
        <w:br/>
        <w:t>г) счета за проживание в гостинице, общежитии или другом месте временного пребывания или их заверенные копии;</w:t>
      </w:r>
      <w:r w:rsidRPr="002D0B23">
        <w:rPr>
          <w:rFonts w:ascii="PT Sans" w:eastAsia="Times New Roman" w:hAnsi="PT Sans"/>
          <w:color w:val="606060"/>
          <w:sz w:val="34"/>
          <w:szCs w:val="34"/>
          <w:lang w:eastAsia="ru-RU"/>
        </w:rPr>
        <w:br/>
      </w:r>
      <w:proofErr w:type="spellStart"/>
      <w:proofErr w:type="gramStart"/>
      <w:r w:rsidRPr="002D0B23">
        <w:rPr>
          <w:rFonts w:ascii="PT Sans" w:eastAsia="Times New Roman" w:hAnsi="PT Sans"/>
          <w:color w:val="606060"/>
          <w:sz w:val="34"/>
          <w:szCs w:val="34"/>
          <w:lang w:eastAsia="ru-RU"/>
        </w:rPr>
        <w:t>д</w:t>
      </w:r>
      <w:proofErr w:type="spellEnd"/>
      <w:r w:rsidRPr="002D0B23">
        <w:rPr>
          <w:rFonts w:ascii="PT Sans" w:eastAsia="Times New Roman" w:hAnsi="PT Sans"/>
          <w:color w:val="606060"/>
          <w:sz w:val="34"/>
          <w:szCs w:val="34"/>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2D0B23">
        <w:rPr>
          <w:rFonts w:ascii="PT Sans" w:eastAsia="Times New Roman" w:hAnsi="PT Sans"/>
          <w:color w:val="606060"/>
          <w:sz w:val="34"/>
          <w:szCs w:val="34"/>
          <w:lang w:eastAsia="ru-RU"/>
        </w:rPr>
        <w:b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r w:rsidRPr="002D0B23">
        <w:rPr>
          <w:rFonts w:ascii="PT Sans" w:eastAsia="Times New Roman" w:hAnsi="PT Sans"/>
          <w:color w:val="606060"/>
          <w:sz w:val="34"/>
          <w:szCs w:val="34"/>
          <w:lang w:eastAsia="ru-RU"/>
        </w:rPr>
        <w:b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2D0B23">
        <w:rPr>
          <w:rFonts w:ascii="PT Sans" w:eastAsia="Times New Roman" w:hAnsi="PT Sans"/>
          <w:color w:val="606060"/>
          <w:sz w:val="34"/>
          <w:szCs w:val="34"/>
          <w:lang w:eastAsia="ru-RU"/>
        </w:rPr>
        <w:br/>
      </w:r>
      <w:proofErr w:type="spellStart"/>
      <w:r w:rsidRPr="002D0B23">
        <w:rPr>
          <w:rFonts w:ascii="PT Sans" w:eastAsia="Times New Roman" w:hAnsi="PT Sans"/>
          <w:color w:val="606060"/>
          <w:sz w:val="34"/>
          <w:szCs w:val="34"/>
          <w:lang w:eastAsia="ru-RU"/>
        </w:rPr>
        <w:t>з</w:t>
      </w:r>
      <w:proofErr w:type="spellEnd"/>
      <w:r w:rsidRPr="002D0B23">
        <w:rPr>
          <w:rFonts w:ascii="PT Sans" w:eastAsia="Times New Roman" w:hAnsi="PT Sans"/>
          <w:color w:val="606060"/>
          <w:sz w:val="34"/>
          <w:szCs w:val="34"/>
          <w:lang w:eastAsia="ru-RU"/>
        </w:rPr>
        <w:t xml:space="preserve">)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w:t>
      </w:r>
      <w:r w:rsidRPr="002D0B23">
        <w:rPr>
          <w:rFonts w:ascii="PT Sans" w:eastAsia="Times New Roman" w:hAnsi="PT Sans"/>
          <w:color w:val="606060"/>
          <w:sz w:val="34"/>
          <w:szCs w:val="34"/>
          <w:lang w:eastAsia="ru-RU"/>
        </w:rPr>
        <w:lastRenderedPageBreak/>
        <w:t>пересечении государственной границы Российской Федерации при осуществлении выезда из Российской Федерации и въезда в Российскую Федерацию;</w:t>
      </w:r>
      <w:r w:rsidRPr="002D0B23">
        <w:rPr>
          <w:rFonts w:ascii="PT Sans" w:eastAsia="Times New Roman" w:hAnsi="PT Sans"/>
          <w:color w:val="606060"/>
          <w:sz w:val="34"/>
          <w:szCs w:val="34"/>
          <w:lang w:eastAsia="ru-RU"/>
        </w:rPr>
        <w:b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2D0B23">
        <w:rPr>
          <w:rFonts w:ascii="PT Sans" w:eastAsia="Times New Roman" w:hAnsi="PT Sans"/>
          <w:color w:val="606060"/>
          <w:sz w:val="34"/>
          <w:szCs w:val="34"/>
          <w:lang w:eastAsia="ru-RU"/>
        </w:rPr>
        <w:br/>
        <w:t>к) иные документы, которые, по мнению потребителя, подтверждают факт и продолжительность временного отсутствия потребителя в жилом помещении.</w:t>
      </w:r>
      <w:r w:rsidRPr="002D0B23">
        <w:rPr>
          <w:rFonts w:ascii="PT Sans" w:eastAsia="Times New Roman" w:hAnsi="PT Sans"/>
          <w:color w:val="606060"/>
          <w:sz w:val="34"/>
          <w:szCs w:val="34"/>
          <w:lang w:eastAsia="ru-RU"/>
        </w:rPr>
        <w:b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15. Кто ответственен за содержание контейнерных площадок?</w:t>
      </w:r>
      <w:r w:rsidRPr="002D0B23">
        <w:rPr>
          <w:rFonts w:ascii="PT Sans" w:eastAsia="Times New Roman" w:hAnsi="PT Sans"/>
          <w:color w:val="606060"/>
          <w:sz w:val="34"/>
          <w:szCs w:val="34"/>
          <w:lang w:eastAsia="ru-RU"/>
        </w:rPr>
        <w:b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2D0B23">
        <w:rPr>
          <w:rFonts w:ascii="PT Sans" w:eastAsia="Times New Roman" w:hAnsi="PT Sans"/>
          <w:color w:val="606060"/>
          <w:sz w:val="34"/>
          <w:szCs w:val="34"/>
          <w:lang w:eastAsia="ru-RU"/>
        </w:rPr>
        <w:b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r w:rsidRPr="002D0B23">
        <w:rPr>
          <w:rFonts w:ascii="PT Sans" w:eastAsia="Times New Roman" w:hAnsi="PT Sans"/>
          <w:color w:val="606060"/>
          <w:sz w:val="34"/>
          <w:szCs w:val="34"/>
          <w:lang w:eastAsia="ru-RU"/>
        </w:rPr>
        <w:br/>
        <w:t>Право собственности на отходы переходит к региональному оператору с момента погрузки отходов в мусоровоз.</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16. Как часто должен вывозиться мусор?</w:t>
      </w:r>
      <w:r w:rsidRPr="002D0B23">
        <w:rPr>
          <w:rFonts w:ascii="PT Sans" w:eastAsia="Times New Roman" w:hAnsi="PT Sans"/>
          <w:color w:val="606060"/>
          <w:sz w:val="34"/>
          <w:szCs w:val="34"/>
          <w:lang w:eastAsia="ru-RU"/>
        </w:rPr>
        <w:br/>
        <w:t xml:space="preserve">При температуре +5°C и ниже вывоз коммунальных отходов с </w:t>
      </w:r>
      <w:r w:rsidRPr="002D0B23">
        <w:rPr>
          <w:rFonts w:ascii="PT Sans" w:eastAsia="Times New Roman" w:hAnsi="PT Sans"/>
          <w:color w:val="606060"/>
          <w:sz w:val="34"/>
          <w:szCs w:val="34"/>
          <w:lang w:eastAsia="ru-RU"/>
        </w:rPr>
        <w:lastRenderedPageBreak/>
        <w:t>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17.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r w:rsidRPr="002D0B23">
        <w:rPr>
          <w:rFonts w:ascii="PT Sans" w:eastAsia="Times New Roman" w:hAnsi="PT Sans"/>
          <w:color w:val="606060"/>
          <w:sz w:val="34"/>
          <w:szCs w:val="34"/>
          <w:lang w:eastAsia="ru-RU"/>
        </w:rPr>
        <w:br/>
        <w:t>В соответствии с пунктом 5 Постановления Правительство Российской Федерации от 03.06.2016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r w:rsidRPr="002D0B23">
        <w:rPr>
          <w:rFonts w:ascii="PT Sans" w:eastAsia="Times New Roman" w:hAnsi="PT Sans"/>
          <w:color w:val="606060"/>
          <w:sz w:val="34"/>
          <w:szCs w:val="34"/>
          <w:lang w:eastAsia="ru-RU"/>
        </w:rPr>
        <w:br/>
        <w:t>а) расчетным путем исходя из:</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нормативов накопления твердых коммунальных отходов, выраженных в количественных показателях объема;</w:t>
      </w:r>
      <w:r w:rsidRPr="002D0B23">
        <w:rPr>
          <w:rFonts w:ascii="PT Sans" w:eastAsia="Times New Roman" w:hAnsi="PT Sans"/>
          <w:color w:val="606060"/>
          <w:sz w:val="34"/>
          <w:szCs w:val="34"/>
          <w:lang w:eastAsia="ru-RU"/>
        </w:rPr>
        <w:br/>
      </w:r>
      <w:r w:rsidRPr="002D0B23">
        <w:rPr>
          <w:rFonts w:ascii="PT Sans" w:eastAsia="Times New Roman" w:hAnsi="PT Sans"/>
          <w:color w:val="606060"/>
          <w:sz w:val="34"/>
          <w:szCs w:val="34"/>
          <w:lang w:eastAsia="ru-RU"/>
        </w:rPr>
        <w:sym w:font="Symbol" w:char="F02D"/>
      </w:r>
      <w:r w:rsidRPr="002D0B23">
        <w:rPr>
          <w:rFonts w:ascii="PT Sans" w:eastAsia="Times New Roman" w:hAnsi="PT Sans"/>
          <w:color w:val="606060"/>
          <w:sz w:val="34"/>
          <w:szCs w:val="34"/>
          <w:lang w:eastAsia="ru-RU"/>
        </w:rPr>
        <w:t xml:space="preserve"> количества и объема контейнеров для накопления твердых коммунальных отходов, установленных в местах накопления твердых коммунальных отходов;</w:t>
      </w:r>
      <w:r w:rsidRPr="002D0B23">
        <w:rPr>
          <w:rFonts w:ascii="PT Sans" w:eastAsia="Times New Roman" w:hAnsi="PT Sans"/>
          <w:color w:val="606060"/>
          <w:sz w:val="34"/>
          <w:szCs w:val="34"/>
          <w:lang w:eastAsia="ru-RU"/>
        </w:rPr>
        <w:br/>
        <w:t>б) исходя из массы твердых коммунальных отходов, определенной с использованием средств измерения.</w:t>
      </w:r>
      <w:r w:rsidRPr="002D0B23">
        <w:rPr>
          <w:rFonts w:ascii="PT Sans" w:eastAsia="Times New Roman" w:hAnsi="PT Sans"/>
          <w:color w:val="606060"/>
          <w:sz w:val="34"/>
          <w:szCs w:val="34"/>
          <w:lang w:eastAsia="ru-RU"/>
        </w:rPr>
        <w:b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2D0B23" w:rsidRPr="002D0B23" w:rsidRDefault="002D0B23" w:rsidP="002D0B23">
      <w:pPr>
        <w:spacing w:after="336" w:line="312" w:lineRule="atLeast"/>
        <w:jc w:val="both"/>
        <w:rPr>
          <w:rFonts w:ascii="PT Sans" w:eastAsia="Times New Roman" w:hAnsi="PT Sans"/>
          <w:color w:val="606060"/>
          <w:sz w:val="34"/>
          <w:szCs w:val="34"/>
          <w:lang w:eastAsia="ru-RU"/>
        </w:rPr>
      </w:pPr>
      <w:r w:rsidRPr="002D0B23">
        <w:rPr>
          <w:rFonts w:ascii="PT Sans" w:eastAsia="Times New Roman" w:hAnsi="PT Sans"/>
          <w:color w:val="606060"/>
          <w:sz w:val="34"/>
          <w:szCs w:val="34"/>
          <w:lang w:eastAsia="ru-RU"/>
        </w:rPr>
        <w:t>18.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w:t>
      </w:r>
      <w:r w:rsidRPr="002D0B23">
        <w:rPr>
          <w:rFonts w:ascii="PT Sans" w:eastAsia="Times New Roman" w:hAnsi="PT Sans"/>
          <w:color w:val="606060"/>
          <w:sz w:val="34"/>
          <w:szCs w:val="34"/>
          <w:lang w:eastAsia="ru-RU"/>
        </w:rPr>
        <w:br/>
        <w:t xml:space="preserve">Законодательством не запрещено региональному оператору </w:t>
      </w:r>
      <w:r w:rsidRPr="002D0B23">
        <w:rPr>
          <w:rFonts w:ascii="PT Sans" w:eastAsia="Times New Roman" w:hAnsi="PT Sans"/>
          <w:color w:val="606060"/>
          <w:sz w:val="34"/>
          <w:szCs w:val="34"/>
          <w:lang w:eastAsia="ru-RU"/>
        </w:rPr>
        <w:lastRenderedPageBreak/>
        <w:t xml:space="preserve">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w:t>
      </w:r>
      <w:proofErr w:type="spellStart"/>
      <w:r w:rsidRPr="002D0B23">
        <w:rPr>
          <w:rFonts w:ascii="PT Sans" w:eastAsia="Times New Roman" w:hAnsi="PT Sans"/>
          <w:color w:val="606060"/>
          <w:sz w:val="34"/>
          <w:szCs w:val="34"/>
          <w:lang w:eastAsia="ru-RU"/>
        </w:rPr>
        <w:t>регоператором</w:t>
      </w:r>
      <w:proofErr w:type="spellEnd"/>
      <w:r w:rsidRPr="002D0B23">
        <w:rPr>
          <w:rFonts w:ascii="PT Sans" w:eastAsia="Times New Roman" w:hAnsi="PT Sans"/>
          <w:color w:val="606060"/>
          <w:sz w:val="34"/>
          <w:szCs w:val="34"/>
          <w:lang w:eastAsia="ru-RU"/>
        </w:rPr>
        <w:t>, в том числе на утилизацию данных видов отходов.</w:t>
      </w:r>
    </w:p>
    <w:p w:rsidR="0036554E" w:rsidRDefault="0036554E"/>
    <w:sectPr w:rsidR="0036554E" w:rsidSect="00365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D0B23"/>
    <w:rsid w:val="001608B4"/>
    <w:rsid w:val="00235613"/>
    <w:rsid w:val="002D0B23"/>
    <w:rsid w:val="00305E77"/>
    <w:rsid w:val="0036554E"/>
    <w:rsid w:val="003F61D8"/>
    <w:rsid w:val="00585F83"/>
    <w:rsid w:val="006A5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83"/>
    <w:pPr>
      <w:spacing w:after="200" w:line="276" w:lineRule="auto"/>
    </w:pPr>
    <w:rPr>
      <w:rFonts w:ascii="Liberation Serif" w:hAnsi="Liberation Serif"/>
      <w:sz w:val="24"/>
      <w:szCs w:val="22"/>
      <w:lang w:eastAsia="en-US"/>
    </w:rPr>
  </w:style>
  <w:style w:type="paragraph" w:styleId="1">
    <w:name w:val="heading 1"/>
    <w:basedOn w:val="a"/>
    <w:link w:val="10"/>
    <w:uiPriority w:val="9"/>
    <w:qFormat/>
    <w:rsid w:val="002D0B23"/>
    <w:pPr>
      <w:spacing w:after="120" w:line="288" w:lineRule="atLeast"/>
      <w:outlineLvl w:val="0"/>
    </w:pPr>
    <w:rPr>
      <w:rFonts w:ascii="Roboto Condensed" w:eastAsia="Times New Roman" w:hAnsi="Roboto Condensed"/>
      <w:color w:val="000000"/>
      <w:spacing w:val="-10"/>
      <w:kern w:val="36"/>
      <w:sz w:val="120"/>
      <w:szCs w:val="1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0B23"/>
    <w:rPr>
      <w:rFonts w:ascii="Roboto Condensed" w:eastAsia="Times New Roman" w:hAnsi="Roboto Condensed"/>
      <w:color w:val="000000"/>
      <w:spacing w:val="-10"/>
      <w:kern w:val="36"/>
      <w:sz w:val="120"/>
      <w:szCs w:val="120"/>
    </w:rPr>
  </w:style>
  <w:style w:type="character" w:styleId="a3">
    <w:name w:val="Hyperlink"/>
    <w:basedOn w:val="a0"/>
    <w:uiPriority w:val="99"/>
    <w:semiHidden/>
    <w:unhideWhenUsed/>
    <w:rsid w:val="002D0B23"/>
    <w:rPr>
      <w:strike w:val="0"/>
      <w:dstrike w:val="0"/>
      <w:color w:val="186BB1"/>
      <w:u w:val="none"/>
      <w:effect w:val="none"/>
    </w:rPr>
  </w:style>
  <w:style w:type="paragraph" w:styleId="a4">
    <w:name w:val="Normal (Web)"/>
    <w:basedOn w:val="a"/>
    <w:uiPriority w:val="99"/>
    <w:semiHidden/>
    <w:unhideWhenUsed/>
    <w:rsid w:val="002D0B23"/>
    <w:pPr>
      <w:spacing w:after="336" w:line="240" w:lineRule="auto"/>
    </w:pPr>
    <w:rPr>
      <w:rFonts w:ascii="Times New Roman" w:eastAsia="Times New Roman" w:hAnsi="Times New Roman"/>
      <w:szCs w:val="24"/>
      <w:lang w:eastAsia="ru-RU"/>
    </w:rPr>
  </w:style>
  <w:style w:type="paragraph" w:customStyle="1" w:styleId="post-meta">
    <w:name w:val="post-meta"/>
    <w:basedOn w:val="a"/>
    <w:rsid w:val="002D0B23"/>
    <w:pPr>
      <w:spacing w:after="192" w:line="384" w:lineRule="atLeast"/>
    </w:pPr>
    <w:rPr>
      <w:rFonts w:ascii="Times New Roman" w:eastAsia="Times New Roman" w:hAnsi="Times New Roman"/>
      <w:sz w:val="23"/>
      <w:szCs w:val="23"/>
      <w:lang w:eastAsia="ru-RU"/>
    </w:rPr>
  </w:style>
  <w:style w:type="character" w:customStyle="1" w:styleId="post-category2">
    <w:name w:val="post-category2"/>
    <w:basedOn w:val="a0"/>
    <w:rsid w:val="002D0B23"/>
  </w:style>
  <w:style w:type="character" w:customStyle="1" w:styleId="year">
    <w:name w:val="year"/>
    <w:basedOn w:val="a0"/>
    <w:rsid w:val="002D0B23"/>
  </w:style>
</w:styles>
</file>

<file path=word/webSettings.xml><?xml version="1.0" encoding="utf-8"?>
<w:webSettings xmlns:r="http://schemas.openxmlformats.org/officeDocument/2006/relationships" xmlns:w="http://schemas.openxmlformats.org/wordprocessingml/2006/main">
  <w:divs>
    <w:div w:id="314065371">
      <w:bodyDiv w:val="1"/>
      <w:marLeft w:val="0"/>
      <w:marRight w:val="0"/>
      <w:marTop w:val="0"/>
      <w:marBottom w:val="0"/>
      <w:divBdr>
        <w:top w:val="none" w:sz="0" w:space="0" w:color="auto"/>
        <w:left w:val="none" w:sz="0" w:space="0" w:color="auto"/>
        <w:bottom w:val="none" w:sz="0" w:space="0" w:color="auto"/>
        <w:right w:val="none" w:sz="0" w:space="0" w:color="auto"/>
      </w:divBdr>
      <w:divsChild>
        <w:div w:id="761027130">
          <w:marLeft w:val="0"/>
          <w:marRight w:val="0"/>
          <w:marTop w:val="0"/>
          <w:marBottom w:val="0"/>
          <w:divBdr>
            <w:top w:val="none" w:sz="0" w:space="0" w:color="auto"/>
            <w:left w:val="none" w:sz="0" w:space="0" w:color="auto"/>
            <w:bottom w:val="none" w:sz="0" w:space="0" w:color="auto"/>
            <w:right w:val="none" w:sz="0" w:space="0" w:color="auto"/>
          </w:divBdr>
          <w:divsChild>
            <w:div w:id="1953977404">
              <w:marLeft w:val="0"/>
              <w:marRight w:val="0"/>
              <w:marTop w:val="0"/>
              <w:marBottom w:val="0"/>
              <w:divBdr>
                <w:top w:val="none" w:sz="0" w:space="0" w:color="auto"/>
                <w:left w:val="none" w:sz="0" w:space="0" w:color="auto"/>
                <w:bottom w:val="none" w:sz="0" w:space="0" w:color="auto"/>
                <w:right w:val="none" w:sz="0" w:space="0" w:color="auto"/>
              </w:divBdr>
              <w:divsChild>
                <w:div w:id="1044526724">
                  <w:marLeft w:val="0"/>
                  <w:marRight w:val="0"/>
                  <w:marTop w:val="0"/>
                  <w:marBottom w:val="0"/>
                  <w:divBdr>
                    <w:top w:val="none" w:sz="0" w:space="0" w:color="auto"/>
                    <w:left w:val="none" w:sz="0" w:space="0" w:color="auto"/>
                    <w:bottom w:val="none" w:sz="0" w:space="0" w:color="auto"/>
                    <w:right w:val="none" w:sz="0" w:space="0" w:color="auto"/>
                  </w:divBdr>
                  <w:divsChild>
                    <w:div w:id="431055553">
                      <w:marLeft w:val="0"/>
                      <w:marRight w:val="0"/>
                      <w:marTop w:val="0"/>
                      <w:marBottom w:val="0"/>
                      <w:divBdr>
                        <w:top w:val="none" w:sz="0" w:space="0" w:color="auto"/>
                        <w:left w:val="none" w:sz="0" w:space="0" w:color="auto"/>
                        <w:bottom w:val="none" w:sz="0" w:space="0" w:color="auto"/>
                        <w:right w:val="none" w:sz="0" w:space="0" w:color="auto"/>
                      </w:divBdr>
                      <w:divsChild>
                        <w:div w:id="938677563">
                          <w:marLeft w:val="0"/>
                          <w:marRight w:val="0"/>
                          <w:marTop w:val="0"/>
                          <w:marBottom w:val="0"/>
                          <w:divBdr>
                            <w:top w:val="none" w:sz="0" w:space="0" w:color="auto"/>
                            <w:left w:val="none" w:sz="0" w:space="0" w:color="auto"/>
                            <w:bottom w:val="none" w:sz="0" w:space="0" w:color="auto"/>
                            <w:right w:val="none" w:sz="0" w:space="0" w:color="auto"/>
                          </w:divBdr>
                          <w:divsChild>
                            <w:div w:id="1903828292">
                              <w:marLeft w:val="0"/>
                              <w:marRight w:val="0"/>
                              <w:marTop w:val="0"/>
                              <w:marBottom w:val="0"/>
                              <w:divBdr>
                                <w:top w:val="none" w:sz="0" w:space="0" w:color="auto"/>
                                <w:left w:val="none" w:sz="0" w:space="0" w:color="auto"/>
                                <w:bottom w:val="none" w:sz="0" w:space="0" w:color="auto"/>
                                <w:right w:val="none" w:sz="0" w:space="0" w:color="auto"/>
                              </w:divBdr>
                              <w:divsChild>
                                <w:div w:id="874275398">
                                  <w:marLeft w:val="0"/>
                                  <w:marRight w:val="0"/>
                                  <w:marTop w:val="0"/>
                                  <w:marBottom w:val="0"/>
                                  <w:divBdr>
                                    <w:top w:val="none" w:sz="0" w:space="0" w:color="auto"/>
                                    <w:left w:val="none" w:sz="0" w:space="0" w:color="auto"/>
                                    <w:bottom w:val="none" w:sz="0" w:space="0" w:color="auto"/>
                                    <w:right w:val="none" w:sz="0" w:space="0" w:color="auto"/>
                                  </w:divBdr>
                                </w:div>
                                <w:div w:id="1158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ergy.midural.ru/napravleniya-deyatelnosti/zhkh/obraschenie-s-tverdyimi-byitovyimi-othodami-tbo/reforma-obrashheniya-s-tko-v-voprosah-i-otve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3419</Words>
  <Characters>19492</Characters>
  <Application>Microsoft Office Word</Application>
  <DocSecurity>0</DocSecurity>
  <Lines>162</Lines>
  <Paragraphs>45</Paragraphs>
  <ScaleCrop>false</ScaleCrop>
  <Company>ТалЭС</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2019-03-11T05:11:00Z</dcterms:created>
  <dcterms:modified xsi:type="dcterms:W3CDTF">2019-03-19T04:42:00Z</dcterms:modified>
</cp:coreProperties>
</file>